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3346A" w14:textId="77777777" w:rsidR="000C3EA5" w:rsidRDefault="000C3EA5">
      <w:pPr>
        <w:rPr>
          <w:rFonts w:cs="Arial"/>
        </w:rPr>
      </w:pPr>
    </w:p>
    <w:p w14:paraId="2D6E7EC8" w14:textId="77777777" w:rsidR="001676EC" w:rsidRDefault="001676EC">
      <w:pPr>
        <w:rPr>
          <w:rFonts w:cs="Arial"/>
        </w:rPr>
      </w:pPr>
    </w:p>
    <w:p w14:paraId="030281F2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tbl>
      <w:tblPr>
        <w:tblW w:w="11058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9312"/>
      </w:tblGrid>
      <w:tr w:rsidR="00827355" w:rsidRPr="00236307" w14:paraId="1083259D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3FD8BD" w14:textId="5708F804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E1F9F9A" wp14:editId="6E3A8ADE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6A8A81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Kurzbeschreibung:</w:t>
            </w:r>
          </w:p>
          <w:p w14:paraId="3050380D" w14:textId="27322A67" w:rsidR="005F427F" w:rsidRPr="00236307" w:rsidRDefault="00F862CD" w:rsidP="008C74BC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5F427F">
              <w:rPr>
                <w:rFonts w:ascii="Arial" w:hAnsi="Arial" w:cs="Arial"/>
              </w:rPr>
              <w:t>Schüler</w:t>
            </w:r>
            <w:r w:rsidR="008C74BC">
              <w:rPr>
                <w:rFonts w:ascii="Arial" w:hAnsi="Arial" w:cs="Arial"/>
              </w:rPr>
              <w:t>innen und Schüler erweitern ihre Schreib</w:t>
            </w:r>
            <w:r w:rsidR="00B712F2">
              <w:rPr>
                <w:rFonts w:ascii="Arial" w:hAnsi="Arial" w:cs="Arial"/>
              </w:rPr>
              <w:t>- und Analysekompetenz</w:t>
            </w:r>
            <w:r w:rsidR="008C74BC">
              <w:rPr>
                <w:rFonts w:ascii="Arial" w:hAnsi="Arial" w:cs="Arial"/>
              </w:rPr>
              <w:t>, indem Sie</w:t>
            </w:r>
            <w:r w:rsidR="00B56309">
              <w:rPr>
                <w:rFonts w:ascii="Arial" w:hAnsi="Arial" w:cs="Arial"/>
              </w:rPr>
              <w:t xml:space="preserve"> arbeitsteilig</w:t>
            </w:r>
            <w:r w:rsidR="00B712F2">
              <w:rPr>
                <w:rFonts w:ascii="Arial" w:hAnsi="Arial" w:cs="Arial"/>
              </w:rPr>
              <w:t xml:space="preserve"> einen inneren Monolog verfassen</w:t>
            </w:r>
            <w:r w:rsidR="00B56309">
              <w:rPr>
                <w:rFonts w:ascii="Arial" w:hAnsi="Arial" w:cs="Arial"/>
              </w:rPr>
              <w:t>, der sich auf eine von zwei zentralen Protagonisten der Kalendergeschichten bezieht (den Finder des Geldes und den Besitzer)</w:t>
            </w:r>
            <w:r w:rsidR="00B712F2">
              <w:rPr>
                <w:rFonts w:ascii="Arial" w:hAnsi="Arial" w:cs="Arial"/>
              </w:rPr>
              <w:t>.</w:t>
            </w:r>
            <w:r w:rsidR="008C74BC">
              <w:rPr>
                <w:rFonts w:ascii="Arial" w:hAnsi="Arial" w:cs="Arial"/>
              </w:rPr>
              <w:t xml:space="preserve"> </w:t>
            </w:r>
            <w:r w:rsidR="00B712F2">
              <w:rPr>
                <w:rFonts w:ascii="Arial" w:hAnsi="Arial" w:cs="Arial"/>
              </w:rPr>
              <w:t xml:space="preserve">Hierzu betrachten sie zunächst gezielt </w:t>
            </w:r>
            <w:r w:rsidR="00B56309">
              <w:rPr>
                <w:rFonts w:ascii="Arial" w:hAnsi="Arial" w:cs="Arial"/>
              </w:rPr>
              <w:t>entsprechende Textteile, die Informationen über die jeweiligen Protagonisten geben</w:t>
            </w:r>
            <w:r w:rsidR="00B712F2">
              <w:rPr>
                <w:rFonts w:ascii="Arial" w:hAnsi="Arial" w:cs="Arial"/>
              </w:rPr>
              <w:t xml:space="preserve"> und ziehen daraus</w:t>
            </w:r>
            <w:r w:rsidR="00B56309">
              <w:rPr>
                <w:rFonts w:ascii="Arial" w:hAnsi="Arial" w:cs="Arial"/>
              </w:rPr>
              <w:t xml:space="preserve"> interpretative</w:t>
            </w:r>
            <w:r w:rsidR="00B712F2">
              <w:rPr>
                <w:rFonts w:ascii="Arial" w:hAnsi="Arial" w:cs="Arial"/>
              </w:rPr>
              <w:t xml:space="preserve"> Schlüsse. Diese </w:t>
            </w:r>
            <w:r w:rsidR="00B56309">
              <w:rPr>
                <w:rFonts w:ascii="Arial" w:hAnsi="Arial" w:cs="Arial"/>
              </w:rPr>
              <w:t>gewonnen</w:t>
            </w:r>
            <w:r w:rsidR="00564F62">
              <w:rPr>
                <w:rFonts w:ascii="Arial" w:hAnsi="Arial" w:cs="Arial"/>
              </w:rPr>
              <w:t>en</w:t>
            </w:r>
            <w:r w:rsidR="00B56309">
              <w:rPr>
                <w:rFonts w:ascii="Arial" w:hAnsi="Arial" w:cs="Arial"/>
              </w:rPr>
              <w:t xml:space="preserve"> </w:t>
            </w:r>
            <w:r w:rsidR="00B712F2">
              <w:rPr>
                <w:rFonts w:ascii="Arial" w:hAnsi="Arial" w:cs="Arial"/>
              </w:rPr>
              <w:t>Erkenntnisse nutzen sie, um mithilfe bereitgestellter Kriterien einen inneren Monolog zu verfassen, der</w:t>
            </w:r>
            <w:r w:rsidR="00B56309">
              <w:rPr>
                <w:rFonts w:ascii="Arial" w:hAnsi="Arial" w:cs="Arial"/>
              </w:rPr>
              <w:t xml:space="preserve"> inhaltlich</w:t>
            </w:r>
            <w:r w:rsidR="00B712F2">
              <w:rPr>
                <w:rFonts w:ascii="Arial" w:hAnsi="Arial" w:cs="Arial"/>
              </w:rPr>
              <w:t xml:space="preserve"> an das Ende der Kalendergeschichte anknüpft.</w:t>
            </w:r>
          </w:p>
        </w:tc>
      </w:tr>
      <w:tr w:rsidR="00827355" w:rsidRPr="00236307" w14:paraId="2E29D54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6B82D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E145C6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870D7FC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6DF6E" w14:textId="5CF30F3A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39BFDD5" wp14:editId="4265C572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91C78" w14:textId="6FE8DAE2" w:rsidR="00F862CD" w:rsidRPr="00176805" w:rsidRDefault="00827355" w:rsidP="00176805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176805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  <w:r w:rsidR="00564F62">
              <w:rPr>
                <w:rFonts w:ascii="Arial" w:hAnsi="Arial" w:cs="Arial"/>
                <w:b/>
                <w:szCs w:val="22"/>
              </w:rPr>
              <w:t xml:space="preserve"> </w:t>
            </w:r>
            <w:r w:rsidR="008928AA" w:rsidRPr="00176805">
              <w:rPr>
                <w:rFonts w:ascii="Arial" w:hAnsi="Arial" w:cs="Arial"/>
                <w:b/>
                <w:szCs w:val="22"/>
              </w:rPr>
              <w:t>2BFS</w:t>
            </w:r>
          </w:p>
          <w:p w14:paraId="7EB6BC3C" w14:textId="28EA5640" w:rsidR="00E61305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vertiefen ihre Lese-, Textverstehens- und Analysekompetenz im Umgang mit literarischen Texten</w:t>
            </w:r>
            <w:r w:rsidR="002E4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4566" w:rsidRPr="00176805">
              <w:rPr>
                <w:rFonts w:ascii="Arial" w:hAnsi="Arial" w:cs="Arial"/>
                <w:sz w:val="22"/>
                <w:szCs w:val="22"/>
              </w:rPr>
              <w:t>(BPE 6)</w:t>
            </w:r>
            <w:r w:rsidRPr="0017680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FD61225" w14:textId="571A877E" w:rsidR="00F862CD" w:rsidRPr="00176805" w:rsidRDefault="00F862CD" w:rsidP="00176805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176805">
              <w:rPr>
                <w:rFonts w:ascii="Arial" w:hAnsi="Arial" w:cs="Arial"/>
                <w:szCs w:val="22"/>
              </w:rPr>
              <w:t xml:space="preserve">Sie verwenden hierbei Strategien der Texterschließung (BPE 1.1) und berücksichtigen einzelne Strukturmerkmale (BPE 1.2). </w:t>
            </w:r>
            <w:r w:rsidR="002E4566">
              <w:rPr>
                <w:rFonts w:ascii="Arial" w:hAnsi="Arial" w:cs="Arial"/>
                <w:szCs w:val="22"/>
              </w:rPr>
              <w:t>Die Förderung der Lesekompetenz ist hierbei zentral.</w:t>
            </w:r>
          </w:p>
          <w:p w14:paraId="70F50BA3" w14:textId="299FBA40" w:rsidR="00E61305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>Sie unterscheiden Texte verschiedener Gattungen</w:t>
            </w:r>
            <w:r w:rsidR="002B598C">
              <w:rPr>
                <w:rFonts w:ascii="Arial" w:hAnsi="Arial" w:cs="Arial"/>
                <w:sz w:val="22"/>
                <w:szCs w:val="22"/>
              </w:rPr>
              <w:t xml:space="preserve"> und</w:t>
            </w:r>
            <w:r w:rsidRPr="00176805">
              <w:rPr>
                <w:rFonts w:ascii="Arial" w:hAnsi="Arial" w:cs="Arial"/>
                <w:sz w:val="22"/>
                <w:szCs w:val="22"/>
              </w:rPr>
              <w:t xml:space="preserve"> reflektieren die Bedeutung literarischer Texte</w:t>
            </w:r>
            <w:r w:rsidR="00B712F2">
              <w:rPr>
                <w:rFonts w:ascii="Arial" w:hAnsi="Arial" w:cs="Arial"/>
                <w:sz w:val="22"/>
                <w:szCs w:val="22"/>
              </w:rPr>
              <w:t>. Sie wenden handlungs- und produktionsorientierte Methoden für das Gestalten und Interpretieren von Texten an</w:t>
            </w:r>
            <w:r w:rsidR="002E4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4566" w:rsidRPr="00176805">
              <w:rPr>
                <w:rFonts w:ascii="Arial" w:hAnsi="Arial" w:cs="Arial"/>
                <w:sz w:val="22"/>
                <w:szCs w:val="22"/>
              </w:rPr>
              <w:t>(BPE 6, 6.1, 6.3)</w:t>
            </w:r>
            <w:r w:rsidR="00B712F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11DDA5" w14:textId="3BF2CCA4" w:rsidR="008928AA" w:rsidRPr="00176805" w:rsidRDefault="001768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vertiefen ihre Kenntnisse im Bereich der Textproduktion. Sie planen Schreibprozesse, wenden Schreibstrategien und Techniken der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Überarbeitung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an</w:t>
            </w:r>
            <w:r w:rsidR="002E4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4566" w:rsidRPr="00176805">
              <w:rPr>
                <w:rFonts w:ascii="Arial" w:hAnsi="Arial" w:cs="Arial"/>
                <w:sz w:val="22"/>
                <w:szCs w:val="22"/>
              </w:rPr>
              <w:t>(BPE 9, 9.1)</w:t>
            </w:r>
            <w:r w:rsidR="002B598C">
              <w:rPr>
                <w:rFonts w:ascii="Arial" w:hAnsi="Arial" w:cs="Arial"/>
                <w:sz w:val="22"/>
                <w:szCs w:val="22"/>
              </w:rPr>
              <w:t>.</w:t>
            </w:r>
            <w:r w:rsidRPr="001768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27355" w:rsidRPr="00236307" w14:paraId="12A1BE88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BE9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90F14E7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68C6BB" w14:textId="77777777" w:rsidTr="00F862CD">
        <w:trPr>
          <w:trHeight w:val="605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172E5D" w14:textId="3AA8AE4B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43354CD" wp14:editId="70492957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8026" w14:textId="2722BB3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Vorwissen | </w:t>
            </w:r>
            <w:r w:rsidR="006E2DDA">
              <w:rPr>
                <w:rFonts w:ascii="Arial" w:hAnsi="Arial" w:cs="Arial"/>
                <w:b/>
              </w:rPr>
              <w:t>Fähigkeiten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60F30DE4" w14:textId="66F8EBF0" w:rsidR="008928AA" w:rsidRPr="00F862CD" w:rsidRDefault="008953C2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F862CD">
              <w:rPr>
                <w:rFonts w:ascii="Arial" w:hAnsi="Arial" w:cs="Arial"/>
              </w:rPr>
              <w:t xml:space="preserve">Umgang mit </w:t>
            </w:r>
            <w:r w:rsidR="00DB7F2B" w:rsidRPr="00F862CD">
              <w:rPr>
                <w:rFonts w:ascii="Arial" w:hAnsi="Arial" w:cs="Arial"/>
              </w:rPr>
              <w:t>digitalen Pinnwänden</w:t>
            </w:r>
            <w:r w:rsidR="002E4566">
              <w:rPr>
                <w:rFonts w:ascii="Arial" w:hAnsi="Arial" w:cs="Arial"/>
              </w:rPr>
              <w:t>,</w:t>
            </w:r>
            <w:r w:rsidR="00DB7F2B" w:rsidRPr="00F862CD">
              <w:rPr>
                <w:rFonts w:ascii="Arial" w:hAnsi="Arial" w:cs="Arial"/>
              </w:rPr>
              <w:t xml:space="preserve"> </w:t>
            </w:r>
            <w:r w:rsidRPr="00F862CD">
              <w:rPr>
                <w:rFonts w:ascii="Arial" w:hAnsi="Arial" w:cs="Arial"/>
              </w:rPr>
              <w:t>wie z.</w:t>
            </w:r>
            <w:r w:rsidR="002E4566">
              <w:rPr>
                <w:rFonts w:ascii="Arial" w:hAnsi="Arial" w:cs="Arial"/>
              </w:rPr>
              <w:t xml:space="preserve"> </w:t>
            </w:r>
            <w:r w:rsidRPr="00F862CD">
              <w:rPr>
                <w:rFonts w:ascii="Arial" w:hAnsi="Arial" w:cs="Arial"/>
              </w:rPr>
              <w:t xml:space="preserve">B. </w:t>
            </w:r>
            <w:proofErr w:type="spellStart"/>
            <w:r w:rsidRPr="00F862CD">
              <w:rPr>
                <w:rFonts w:ascii="Arial" w:hAnsi="Arial" w:cs="Arial"/>
              </w:rPr>
              <w:t>Padlet</w:t>
            </w:r>
            <w:proofErr w:type="spellEnd"/>
            <w:r w:rsidRPr="00F862CD">
              <w:rPr>
                <w:rFonts w:ascii="Arial" w:hAnsi="Arial" w:cs="Arial"/>
              </w:rPr>
              <w:t xml:space="preserve">, </w:t>
            </w:r>
            <w:r w:rsidR="00564F62">
              <w:rPr>
                <w:rFonts w:ascii="Arial" w:hAnsi="Arial" w:cs="Arial"/>
              </w:rPr>
              <w:t>usw.</w:t>
            </w:r>
          </w:p>
        </w:tc>
      </w:tr>
      <w:tr w:rsidR="00827355" w:rsidRPr="00236307" w14:paraId="1669707A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CEB25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53F5C3E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95D1EB2" w14:textId="77777777" w:rsidTr="00827355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0CBFF3" w14:textId="1E420AAB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A00495" wp14:editId="23DCA664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</w:tcBorders>
            <w:shd w:val="clear" w:color="auto" w:fill="auto"/>
          </w:tcPr>
          <w:p w14:paraId="122CBFFF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Organisationsform; Zeitplan | Ablauf:</w:t>
            </w:r>
          </w:p>
          <w:p w14:paraId="59CE50A2" w14:textId="77777777" w:rsidR="008928AA" w:rsidRPr="002E4566" w:rsidRDefault="008705B5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2E4566">
              <w:rPr>
                <w:rFonts w:ascii="Arial" w:hAnsi="Arial" w:cs="Arial"/>
                <w:bCs/>
              </w:rPr>
              <w:t xml:space="preserve">Einzelarbeit, </w:t>
            </w:r>
            <w:r w:rsidR="00F862CD" w:rsidRPr="002E4566">
              <w:rPr>
                <w:rFonts w:ascii="Arial" w:hAnsi="Arial" w:cs="Arial"/>
                <w:bCs/>
              </w:rPr>
              <w:t>Partnerarbeit</w:t>
            </w:r>
            <w:r w:rsidR="008928AA" w:rsidRPr="002E4566">
              <w:rPr>
                <w:rFonts w:ascii="Arial" w:hAnsi="Arial" w:cs="Arial"/>
                <w:bCs/>
              </w:rPr>
              <w:t xml:space="preserve">, </w:t>
            </w:r>
            <w:r w:rsidRPr="002E4566">
              <w:rPr>
                <w:rFonts w:ascii="Arial" w:hAnsi="Arial" w:cs="Arial"/>
                <w:bCs/>
              </w:rPr>
              <w:t>Plenum</w:t>
            </w:r>
          </w:p>
          <w:p w14:paraId="004DF282" w14:textId="7FCF9BCA" w:rsidR="008705B5" w:rsidRPr="00F64172" w:rsidRDefault="00EC1C08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2E4566">
              <w:rPr>
                <w:rFonts w:ascii="Arial" w:hAnsi="Arial" w:cs="Arial"/>
                <w:bCs/>
              </w:rPr>
              <w:t>2</w:t>
            </w:r>
            <w:r w:rsidR="008C74BC" w:rsidRPr="002E4566">
              <w:rPr>
                <w:rFonts w:ascii="Arial" w:hAnsi="Arial" w:cs="Arial"/>
                <w:bCs/>
              </w:rPr>
              <w:t xml:space="preserve"> </w:t>
            </w:r>
            <w:r w:rsidR="008705B5" w:rsidRPr="002E4566">
              <w:rPr>
                <w:rFonts w:ascii="Arial" w:hAnsi="Arial" w:cs="Arial"/>
                <w:bCs/>
              </w:rPr>
              <w:t>UE</w:t>
            </w:r>
            <w:r w:rsidR="0042538D" w:rsidRPr="002E4566">
              <w:rPr>
                <w:rFonts w:ascii="Arial" w:hAnsi="Arial" w:cs="Arial"/>
                <w:bCs/>
              </w:rPr>
              <w:t xml:space="preserve"> zu je 45 </w:t>
            </w:r>
            <w:r w:rsidR="006E2DDA" w:rsidRPr="002E4566">
              <w:rPr>
                <w:rFonts w:ascii="Arial" w:hAnsi="Arial" w:cs="Arial"/>
                <w:bCs/>
              </w:rPr>
              <w:t>Minuten</w:t>
            </w:r>
            <w:r w:rsidR="0042538D" w:rsidRPr="002E4566">
              <w:rPr>
                <w:rFonts w:ascii="Arial" w:hAnsi="Arial" w:cs="Arial"/>
                <w:bCs/>
              </w:rPr>
              <w:t xml:space="preserve"> (je nach Stundentafel variabel modifizierbar)</w:t>
            </w:r>
          </w:p>
        </w:tc>
      </w:tr>
      <w:tr w:rsidR="00827355" w:rsidRPr="00236307" w14:paraId="56A84E8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F78B9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1376FBD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8CAF80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89E2E" w14:textId="1FB7AED7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4BB24BA" wp14:editId="7A7CDD5E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91318" w14:textId="77777777" w:rsidR="008928AA" w:rsidRPr="008928AA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8928AA">
              <w:rPr>
                <w:rFonts w:ascii="Arial" w:hAnsi="Arial" w:cs="Arial"/>
                <w:b/>
              </w:rPr>
              <w:t>Verwendete Hard- und Software, weitere Medien:</w:t>
            </w:r>
          </w:p>
          <w:p w14:paraId="2E9E4507" w14:textId="02C6DE0C" w:rsidR="00827355" w:rsidRPr="00623846" w:rsidRDefault="00A724B1" w:rsidP="00A724B1">
            <w:pPr>
              <w:pStyle w:val="Tabellenstil1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 B. Tablet mit Stift, PC)</w:t>
            </w:r>
            <w:r w:rsidR="002E456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</w:t>
            </w:r>
            <w:r w:rsidR="006101B3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 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Textverarbeitungssoftware oder Notizbuch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GoodNotes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OneNote o. </w:t>
            </w:r>
            <w:r w:rsidR="00564F62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.), App, die eine digitale Pinnwand zur Verfügung stellt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Padlet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Trello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o.</w:t>
            </w:r>
            <w:r w:rsidR="002E456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="00564F62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.),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Beamer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zur Präsentation </w:t>
            </w:r>
          </w:p>
        </w:tc>
      </w:tr>
      <w:tr w:rsidR="00827355" w:rsidRPr="00236307" w14:paraId="2EDD727E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B1B1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BDBD5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C08D54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E05D9" w14:textId="282BF6DA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A9C391" wp14:editId="40C05842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008A" w14:textId="57F85900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Technische Angaben, benötigte Werkzeuge und </w:t>
            </w:r>
            <w:r w:rsidRPr="00AE28B0">
              <w:rPr>
                <w:rFonts w:ascii="Arial" w:hAnsi="Arial" w:cs="Arial"/>
                <w:b/>
                <w:u w:val="single"/>
              </w:rPr>
              <w:t>Materialien</w:t>
            </w:r>
            <w:r w:rsidR="002E4566">
              <w:rPr>
                <w:rFonts w:ascii="Arial" w:hAnsi="Arial" w:cs="Arial"/>
                <w:b/>
                <w:u w:val="single"/>
              </w:rPr>
              <w:t>:</w:t>
            </w:r>
          </w:p>
          <w:p w14:paraId="57289C81" w14:textId="7CC94DF5" w:rsidR="00AE28B0" w:rsidRPr="00623846" w:rsidRDefault="00F862CD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Link zu </w:t>
            </w:r>
            <w:proofErr w:type="spellStart"/>
            <w:r w:rsidR="00B712F2" w:rsidRPr="006E2DDA">
              <w:rPr>
                <w:rFonts w:ascii="Arial" w:hAnsi="Arial" w:cs="Arial"/>
                <w:bCs/>
                <w:szCs w:val="22"/>
              </w:rPr>
              <w:t>ZUM</w:t>
            </w:r>
            <w:r w:rsidR="00564F62">
              <w:rPr>
                <w:rFonts w:ascii="Arial" w:hAnsi="Arial" w:cs="Arial"/>
                <w:bCs/>
                <w:szCs w:val="22"/>
              </w:rPr>
              <w:t>P</w:t>
            </w:r>
            <w:r w:rsidR="00B712F2" w:rsidRPr="006E2DDA">
              <w:rPr>
                <w:rFonts w:ascii="Arial" w:hAnsi="Arial" w:cs="Arial"/>
                <w:bCs/>
                <w:szCs w:val="22"/>
              </w:rPr>
              <w:t>ad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</w:t>
            </w:r>
            <w:r w:rsidR="006E2DDA">
              <w:rPr>
                <w:rFonts w:ascii="Arial" w:hAnsi="Arial" w:cs="Arial"/>
                <w:bCs/>
                <w:szCs w:val="22"/>
              </w:rPr>
              <w:t xml:space="preserve">auf </w:t>
            </w:r>
            <w:r w:rsidR="002E4566" w:rsidRPr="00564F62">
              <w:rPr>
                <w:rFonts w:ascii="Arial" w:hAnsi="Arial" w:cs="Arial"/>
                <w:bCs/>
                <w:color w:val="C00000"/>
                <w:szCs w:val="22"/>
              </w:rPr>
              <w:t xml:space="preserve">02-9-10-3_AM01_Der kluge </w:t>
            </w:r>
            <w:proofErr w:type="spellStart"/>
            <w:r w:rsidR="002E4566" w:rsidRPr="00564F62">
              <w:rPr>
                <w:rFonts w:ascii="Arial" w:hAnsi="Arial" w:cs="Arial"/>
                <w:bCs/>
                <w:color w:val="C00000"/>
                <w:szCs w:val="22"/>
              </w:rPr>
              <w:t>Richter_Figurenmonolog_Besitzer</w:t>
            </w:r>
            <w:proofErr w:type="spellEnd"/>
            <w:r w:rsidR="002E4566" w:rsidRPr="00564F62">
              <w:rPr>
                <w:rFonts w:ascii="Arial" w:hAnsi="Arial" w:cs="Arial"/>
                <w:bCs/>
                <w:color w:val="C00000"/>
                <w:szCs w:val="22"/>
              </w:rPr>
              <w:t xml:space="preserve"> und 02-9-10-3_AM01_Der kluge </w:t>
            </w:r>
            <w:proofErr w:type="spellStart"/>
            <w:r w:rsidR="002E4566" w:rsidRPr="00564F62">
              <w:rPr>
                <w:rFonts w:ascii="Arial" w:hAnsi="Arial" w:cs="Arial"/>
                <w:bCs/>
                <w:color w:val="C00000"/>
                <w:szCs w:val="22"/>
              </w:rPr>
              <w:t>Richter_Figurenmonolog_Finder</w:t>
            </w:r>
            <w:proofErr w:type="spellEnd"/>
            <w:r w:rsidR="00B712F2" w:rsidRPr="00216CAD">
              <w:rPr>
                <w:rFonts w:ascii="Arial" w:hAnsi="Arial" w:cs="Arial"/>
                <w:bCs/>
                <w:szCs w:val="22"/>
              </w:rPr>
              <w:t>,</w:t>
            </w:r>
            <w:r w:rsidR="00B712F2" w:rsidRPr="00564F62">
              <w:rPr>
                <w:rFonts w:ascii="Arial" w:hAnsi="Arial" w:cs="Arial"/>
                <w:bCs/>
                <w:color w:val="C00000"/>
                <w:szCs w:val="22"/>
              </w:rPr>
              <w:t xml:space="preserve"> </w:t>
            </w:r>
            <w:r w:rsidR="00B712F2" w:rsidRPr="00B265EA">
              <w:rPr>
                <w:rFonts w:ascii="Arial" w:hAnsi="Arial" w:cs="Arial"/>
                <w:bCs/>
                <w:szCs w:val="22"/>
              </w:rPr>
              <w:t>Tablet/PC mit Textverarbeitungsprogramm (z.B. Word)</w:t>
            </w:r>
          </w:p>
        </w:tc>
      </w:tr>
      <w:tr w:rsidR="00827355" w:rsidRPr="00236307" w14:paraId="021B9285" w14:textId="77777777" w:rsidTr="00564F62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C0661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D6013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345FE0" w14:textId="77777777" w:rsidTr="00564F62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0B515" w14:textId="6FFFB0CD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F2E9CB0" wp14:editId="7A3DDB49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CC62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Ergebnissicherung: </w:t>
            </w:r>
          </w:p>
          <w:p w14:paraId="3C10AFC8" w14:textId="125CB3C6" w:rsidR="008928AA" w:rsidRPr="00623846" w:rsidRDefault="008928AA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623846">
              <w:rPr>
                <w:rFonts w:ascii="Arial" w:hAnsi="Arial" w:cs="Arial"/>
                <w:bCs/>
                <w:szCs w:val="22"/>
              </w:rPr>
              <w:t xml:space="preserve">Die Ergebnissicherung erfolgt </w:t>
            </w:r>
            <w:r w:rsidR="00F862CD">
              <w:rPr>
                <w:rFonts w:ascii="Arial" w:hAnsi="Arial" w:cs="Arial"/>
                <w:bCs/>
                <w:szCs w:val="22"/>
              </w:rPr>
              <w:t>in Form mündlicher Lernzielkontrollen, zwischen den einzelnen Arbeitsphasen durch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schriftliche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Fixierung sowie in Form </w:t>
            </w:r>
            <w:r w:rsidR="002E4566">
              <w:rPr>
                <w:rFonts w:ascii="Arial" w:hAnsi="Arial" w:cs="Arial"/>
                <w:bCs/>
                <w:szCs w:val="22"/>
              </w:rPr>
              <w:t>einer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digitalen Pinnwand.</w:t>
            </w:r>
          </w:p>
        </w:tc>
      </w:tr>
      <w:tr w:rsidR="00564F62" w:rsidRPr="00236307" w14:paraId="6698DB78" w14:textId="77777777" w:rsidTr="00564F62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4E23" w14:textId="77777777" w:rsidR="00564F62" w:rsidRDefault="00564F62" w:rsidP="002E3BE5">
            <w:pPr>
              <w:pStyle w:val="TabellelinkeSpalte"/>
              <w:jc w:val="center"/>
              <w:rPr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F7A05" w14:textId="0E353E1B" w:rsidR="00564F62" w:rsidRPr="00236307" w:rsidRDefault="00564F62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</w:tc>
      </w:tr>
      <w:tr w:rsidR="00564F62" w:rsidRPr="00236307" w14:paraId="32FE8948" w14:textId="77777777" w:rsidTr="00564F62">
        <w:trPr>
          <w:gridAfter w:val="1"/>
          <w:wAfter w:w="9312" w:type="dxa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A8704" w14:textId="77777777" w:rsidR="00564F62" w:rsidRDefault="00564F62" w:rsidP="002E3BE5">
            <w:pPr>
              <w:pStyle w:val="TabellelinkeSpalte"/>
              <w:jc w:val="center"/>
              <w:rPr>
                <w:noProof/>
              </w:rPr>
            </w:pPr>
          </w:p>
        </w:tc>
      </w:tr>
      <w:tr w:rsidR="00827355" w:rsidRPr="00236307" w14:paraId="0709C2B0" w14:textId="77777777" w:rsidTr="00564F62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22BC8" w14:textId="2AAF5365" w:rsidR="00827355" w:rsidRPr="00236307" w:rsidRDefault="00D24C98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31F0D81" wp14:editId="7955D019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758A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Resümee | Hinweise: </w:t>
            </w:r>
          </w:p>
          <w:p w14:paraId="20981FD4" w14:textId="743109C9" w:rsidR="001F51CD" w:rsidRPr="00623846" w:rsidRDefault="00B56309" w:rsidP="008C74BC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Das erwartete</w:t>
            </w:r>
            <w:r w:rsidR="007668D6">
              <w:rPr>
                <w:rFonts w:ascii="Arial" w:hAnsi="Arial" w:cs="Arial"/>
                <w:bCs/>
                <w:szCs w:val="22"/>
              </w:rPr>
              <w:t xml:space="preserve"> Ergebnis </w:t>
            </w:r>
            <w:r>
              <w:rPr>
                <w:rFonts w:ascii="Arial" w:hAnsi="Arial" w:cs="Arial"/>
                <w:bCs/>
                <w:szCs w:val="22"/>
              </w:rPr>
              <w:t>ist individuell. Es ist wichtig, im Erstellungs- und Reflexionsprozess</w:t>
            </w:r>
            <w:r w:rsidR="007668D6">
              <w:rPr>
                <w:rFonts w:ascii="Arial" w:hAnsi="Arial" w:cs="Arial"/>
                <w:bCs/>
                <w:szCs w:val="22"/>
              </w:rPr>
              <w:t xml:space="preserve"> darauf zu achten</w:t>
            </w:r>
            <w:r>
              <w:rPr>
                <w:rFonts w:ascii="Arial" w:hAnsi="Arial" w:cs="Arial"/>
                <w:bCs/>
                <w:szCs w:val="22"/>
              </w:rPr>
              <w:t>, dass</w:t>
            </w:r>
            <w:r w:rsidR="00EC1063">
              <w:rPr>
                <w:rFonts w:ascii="Arial" w:hAnsi="Arial" w:cs="Arial"/>
                <w:bCs/>
                <w:szCs w:val="22"/>
              </w:rPr>
              <w:t xml:space="preserve"> </w:t>
            </w:r>
            <w:r w:rsidR="002E4566">
              <w:rPr>
                <w:rFonts w:ascii="Arial" w:hAnsi="Arial" w:cs="Arial"/>
                <w:bCs/>
                <w:szCs w:val="22"/>
              </w:rPr>
              <w:t>sich die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  <w:r w:rsidR="002E4566">
              <w:rPr>
                <w:rFonts w:ascii="Arial" w:hAnsi="Arial" w:cs="Arial"/>
                <w:bCs/>
                <w:szCs w:val="22"/>
              </w:rPr>
              <w:t xml:space="preserve">Ideen nachvollziehbar auf den Text beziehen. </w:t>
            </w:r>
          </w:p>
        </w:tc>
      </w:tr>
    </w:tbl>
    <w:p w14:paraId="5FBFC484" w14:textId="347C5238" w:rsidR="001676EC" w:rsidRDefault="001676EC" w:rsidP="007668D6">
      <w:pPr>
        <w:tabs>
          <w:tab w:val="left" w:pos="2022"/>
        </w:tabs>
        <w:rPr>
          <w:rFonts w:cs="Arial"/>
        </w:rPr>
      </w:pPr>
    </w:p>
    <w:sectPr w:rsidR="001676EC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FFC01" w14:textId="77777777" w:rsidR="004D7904" w:rsidRDefault="004D7904" w:rsidP="001676EC">
      <w:r>
        <w:separator/>
      </w:r>
    </w:p>
  </w:endnote>
  <w:endnote w:type="continuationSeparator" w:id="0">
    <w:p w14:paraId="734928AB" w14:textId="77777777" w:rsidR="004D7904" w:rsidRDefault="004D790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4EB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C729BDF" wp14:editId="33D299C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6C3D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729B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3046C3D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161F9A7" wp14:editId="16B3426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2EE0" wp14:editId="0C9E2FD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9D9396" wp14:editId="5733A47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7E0FB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72CC95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D939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87E0FB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72CC95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399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ADBE6A" wp14:editId="496EDA8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BB87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ADBE6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BB87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C3183B" wp14:editId="238574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0C0D5" wp14:editId="5082848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11F5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710807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0C0D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711F5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710807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23A82E" wp14:editId="04F7C4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D23C6" w14:textId="77777777" w:rsidR="004D7904" w:rsidRDefault="004D7904" w:rsidP="001676EC">
      <w:r>
        <w:separator/>
      </w:r>
    </w:p>
  </w:footnote>
  <w:footnote w:type="continuationSeparator" w:id="0">
    <w:p w14:paraId="44910960" w14:textId="77777777" w:rsidR="004D7904" w:rsidRDefault="004D790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3489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11"/>
      <w:gridCol w:w="7278"/>
    </w:tblGrid>
    <w:tr w:rsidR="001676EC" w:rsidRPr="00435C55" w14:paraId="0A6A21A3" w14:textId="77777777" w:rsidTr="00564F62">
      <w:trPr>
        <w:trHeight w:val="311"/>
      </w:trPr>
      <w:tc>
        <w:tcPr>
          <w:tcW w:w="6211" w:type="dxa"/>
        </w:tcPr>
        <w:p w14:paraId="0FF4625D" w14:textId="58F646C4" w:rsidR="002E4566" w:rsidRPr="00564F62" w:rsidRDefault="00E61305" w:rsidP="002E4566">
          <w:pPr>
            <w:rPr>
              <w:rFonts w:cs="Arial"/>
              <w:color w:val="FFFFFF" w:themeColor="background1"/>
              <w:sz w:val="18"/>
              <w:szCs w:val="18"/>
            </w:rPr>
          </w:pPr>
          <w:r w:rsidRPr="00564F62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564F62" w:rsidRPr="00564F62">
            <w:rPr>
              <w:rFonts w:cs="Arial"/>
              <w:color w:val="FFFFFF" w:themeColor="background1"/>
              <w:sz w:val="18"/>
              <w:szCs w:val="18"/>
            </w:rPr>
            <w:t xml:space="preserve"> –</w:t>
          </w:r>
          <w:r w:rsidR="002E4566" w:rsidRPr="00564F62">
            <w:rPr>
              <w:rFonts w:cs="Arial"/>
              <w:color w:val="FFFFFF" w:themeColor="background1"/>
              <w:sz w:val="18"/>
              <w:szCs w:val="18"/>
            </w:rPr>
            <w:t>Figurenmonolog</w:t>
          </w:r>
          <w:r w:rsidR="00564F62" w:rsidRPr="00564F62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2E4566" w:rsidRPr="00564F62">
            <w:rPr>
              <w:rFonts w:cs="Arial"/>
              <w:color w:val="FFFFFF" w:themeColor="background1"/>
              <w:sz w:val="18"/>
              <w:szCs w:val="18"/>
            </w:rPr>
            <w:t>(gestaltendes Interpretieren)</w:t>
          </w:r>
        </w:p>
        <w:p w14:paraId="7B05A205" w14:textId="77777777" w:rsidR="00564F62" w:rsidRPr="00564F62" w:rsidRDefault="00564F62" w:rsidP="002E4566">
          <w:pPr>
            <w:rPr>
              <w:rFonts w:cs="Arial"/>
              <w:color w:val="FFFFFF" w:themeColor="background1"/>
              <w:sz w:val="18"/>
              <w:szCs w:val="18"/>
            </w:rPr>
          </w:pPr>
        </w:p>
        <w:p w14:paraId="0BC2C857" w14:textId="2D6E3FA9" w:rsidR="001676EC" w:rsidRPr="00E61305" w:rsidRDefault="001676EC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</w:p>
      </w:tc>
      <w:tc>
        <w:tcPr>
          <w:tcW w:w="7278" w:type="dxa"/>
        </w:tcPr>
        <w:p w14:paraId="4A8C7B7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49918A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06D789A" wp14:editId="518870EA">
          <wp:simplePos x="0" y="0"/>
          <wp:positionH relativeFrom="column">
            <wp:posOffset>-901700</wp:posOffset>
          </wp:positionH>
          <wp:positionV relativeFrom="paragraph">
            <wp:posOffset>-753110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5449A4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FA1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339C4FE" wp14:editId="0A473AF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9CA44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388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28"/>
      <w:gridCol w:w="6560"/>
    </w:tblGrid>
    <w:tr w:rsidR="001676EC" w14:paraId="720A28AC" w14:textId="77777777" w:rsidTr="00564F62">
      <w:trPr>
        <w:trHeight w:val="300"/>
      </w:trPr>
      <w:tc>
        <w:tcPr>
          <w:tcW w:w="6828" w:type="dxa"/>
        </w:tcPr>
        <w:p w14:paraId="4120F038" w14:textId="77777777" w:rsidR="002E4566" w:rsidRDefault="00E61305" w:rsidP="00153642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208DE81E" w14:textId="65028A90" w:rsidR="00E61305" w:rsidRDefault="00153642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564F62">
            <w:rPr>
              <w:rFonts w:cs="Arial"/>
              <w:color w:val="FFFFFF" w:themeColor="background1"/>
              <w:sz w:val="20"/>
            </w:rPr>
            <w:t xml:space="preserve"> – </w:t>
          </w:r>
          <w:r>
            <w:rPr>
              <w:rFonts w:cs="Arial"/>
              <w:color w:val="FFFFFF" w:themeColor="background1"/>
              <w:sz w:val="20"/>
            </w:rPr>
            <w:t>Figurenmonolog</w:t>
          </w:r>
          <w:r w:rsidR="002E4566">
            <w:rPr>
              <w:rFonts w:cs="Arial"/>
              <w:color w:val="FFFFFF" w:themeColor="background1"/>
              <w:sz w:val="20"/>
            </w:rPr>
            <w:t xml:space="preserve"> (gestaltendes Interpretieren)</w:t>
          </w:r>
        </w:p>
        <w:p w14:paraId="08576841" w14:textId="444436E0" w:rsidR="001676EC" w:rsidRPr="00435C55" w:rsidRDefault="001676EC" w:rsidP="00153642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1C47300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2CC5FD4" w14:textId="77777777" w:rsidTr="00564F62">
      <w:trPr>
        <w:trHeight w:val="300"/>
      </w:trPr>
      <w:tc>
        <w:tcPr>
          <w:tcW w:w="6828" w:type="dxa"/>
        </w:tcPr>
        <w:p w14:paraId="0AC74E2A" w14:textId="77777777" w:rsidR="001676EC" w:rsidRDefault="001676EC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1B0E6884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585139E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C7CC9"/>
    <w:rsid w:val="00153642"/>
    <w:rsid w:val="001676EC"/>
    <w:rsid w:val="00176805"/>
    <w:rsid w:val="00192A3C"/>
    <w:rsid w:val="001B21CA"/>
    <w:rsid w:val="001F51CD"/>
    <w:rsid w:val="00216CAD"/>
    <w:rsid w:val="002444B1"/>
    <w:rsid w:val="002B598C"/>
    <w:rsid w:val="002E3BE5"/>
    <w:rsid w:val="002E4566"/>
    <w:rsid w:val="00407151"/>
    <w:rsid w:val="0042538D"/>
    <w:rsid w:val="004D7904"/>
    <w:rsid w:val="00564F62"/>
    <w:rsid w:val="00573968"/>
    <w:rsid w:val="005F427F"/>
    <w:rsid w:val="006101B3"/>
    <w:rsid w:val="00623846"/>
    <w:rsid w:val="006E2DDA"/>
    <w:rsid w:val="006F61F5"/>
    <w:rsid w:val="00703895"/>
    <w:rsid w:val="007668D6"/>
    <w:rsid w:val="00827355"/>
    <w:rsid w:val="0084060A"/>
    <w:rsid w:val="008705B5"/>
    <w:rsid w:val="008928AA"/>
    <w:rsid w:val="008953C2"/>
    <w:rsid w:val="008C74BC"/>
    <w:rsid w:val="00904310"/>
    <w:rsid w:val="00953159"/>
    <w:rsid w:val="009A003E"/>
    <w:rsid w:val="009C16AF"/>
    <w:rsid w:val="00A57FFA"/>
    <w:rsid w:val="00A724B1"/>
    <w:rsid w:val="00AE28B0"/>
    <w:rsid w:val="00AE4908"/>
    <w:rsid w:val="00B10A17"/>
    <w:rsid w:val="00B265EA"/>
    <w:rsid w:val="00B41B41"/>
    <w:rsid w:val="00B56309"/>
    <w:rsid w:val="00B712F2"/>
    <w:rsid w:val="00B832BE"/>
    <w:rsid w:val="00BE115C"/>
    <w:rsid w:val="00C87D43"/>
    <w:rsid w:val="00CC0351"/>
    <w:rsid w:val="00CC470D"/>
    <w:rsid w:val="00CD1450"/>
    <w:rsid w:val="00D24C98"/>
    <w:rsid w:val="00D73F6A"/>
    <w:rsid w:val="00DB7F2B"/>
    <w:rsid w:val="00E229FD"/>
    <w:rsid w:val="00E61305"/>
    <w:rsid w:val="00E802CB"/>
    <w:rsid w:val="00EC1063"/>
    <w:rsid w:val="00EC1C08"/>
    <w:rsid w:val="00EE7F77"/>
    <w:rsid w:val="00F6250B"/>
    <w:rsid w:val="00F64172"/>
    <w:rsid w:val="00F833D8"/>
    <w:rsid w:val="00F862CD"/>
    <w:rsid w:val="00F86CD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D76DE1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32B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customStyle="1" w:styleId="Tabellenstil1">
    <w:name w:val="Tabellenstil 1"/>
    <w:rsid w:val="00A72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unhideWhenUsed/>
    <w:rsid w:val="00F862CD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1B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1B4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1B41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1B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1B41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72104-2A73-4431-A239-D90201FE5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DFDED-880E-47FC-AA3D-D8050A90FA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1AE37-AE5B-4823-933A-157E1935B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22</cp:revision>
  <dcterms:created xsi:type="dcterms:W3CDTF">2021-02-01T11:37:00Z</dcterms:created>
  <dcterms:modified xsi:type="dcterms:W3CDTF">2021-05-16T19:43:00Z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